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4B4EA473"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F06B40">
        <w:rPr>
          <w:rFonts w:ascii="Arial" w:eastAsia="MS Mincho" w:hAnsi="Arial"/>
          <w:b/>
          <w:bCs/>
          <w:noProof/>
          <w:color w:val="000000"/>
          <w:sz w:val="24"/>
          <w:szCs w:val="24"/>
          <w:lang w:val="en-US" w:eastAsia="ja-JP"/>
        </w:rPr>
        <w:t>4</w:t>
      </w:r>
      <w:r w:rsidR="00CC5EC1">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5198B" w:rsidRPr="0025198B">
        <w:rPr>
          <w:rFonts w:ascii="Arial" w:eastAsia="MS Mincho" w:hAnsi="Arial"/>
          <w:b/>
          <w:bCs/>
          <w:noProof/>
          <w:color w:val="000000"/>
          <w:sz w:val="24"/>
          <w:szCs w:val="24"/>
          <w:lang w:eastAsia="ja-JP"/>
        </w:rPr>
        <w:t>R4-</w:t>
      </w:r>
      <w:r w:rsidR="00F06B40">
        <w:rPr>
          <w:rFonts w:ascii="Arial" w:eastAsia="MS Mincho" w:hAnsi="Arial"/>
          <w:b/>
          <w:bCs/>
          <w:noProof/>
          <w:color w:val="000000"/>
          <w:sz w:val="24"/>
          <w:szCs w:val="24"/>
          <w:lang w:eastAsia="ja-JP"/>
        </w:rPr>
        <w:t>25</w:t>
      </w:r>
      <w:r w:rsidR="00A75E32">
        <w:rPr>
          <w:rFonts w:ascii="Arial" w:eastAsia="MS Mincho" w:hAnsi="Arial"/>
          <w:b/>
          <w:bCs/>
          <w:noProof/>
          <w:color w:val="000000"/>
          <w:sz w:val="24"/>
          <w:szCs w:val="24"/>
          <w:lang w:eastAsia="ja-JP"/>
        </w:rPr>
        <w:t>0</w:t>
      </w:r>
      <w:r w:rsidR="00E909E8">
        <w:rPr>
          <w:rFonts w:ascii="Arial" w:eastAsia="MS Mincho" w:hAnsi="Arial"/>
          <w:b/>
          <w:bCs/>
          <w:noProof/>
          <w:color w:val="000000"/>
          <w:sz w:val="24"/>
          <w:szCs w:val="24"/>
          <w:lang w:eastAsia="ja-JP"/>
        </w:rPr>
        <w:t>456</w:t>
      </w:r>
      <w:r w:rsidR="001B3525">
        <w:rPr>
          <w:rFonts w:ascii="Arial" w:eastAsia="MS Mincho" w:hAnsi="Arial"/>
          <w:b/>
          <w:bCs/>
          <w:noProof/>
          <w:color w:val="000000"/>
          <w:sz w:val="24"/>
          <w:szCs w:val="24"/>
          <w:lang w:eastAsia="ja-JP"/>
        </w:rPr>
        <w:t>4</w:t>
      </w:r>
      <w:r w:rsidR="0025198B" w:rsidRPr="0025198B">
        <w:rPr>
          <w:rFonts w:ascii="Arial" w:eastAsia="MS Mincho" w:hAnsi="Arial"/>
          <w:b/>
          <w:bCs/>
          <w:noProof/>
          <w:color w:val="000000"/>
          <w:sz w:val="24"/>
          <w:szCs w:val="24"/>
          <w:lang w:eastAsia="ja-JP"/>
        </w:rPr>
        <w:t xml:space="preserve"> </w:t>
      </w:r>
      <w:r w:rsidR="00CC5EC1">
        <w:rPr>
          <w:rFonts w:ascii="Arial" w:eastAsia="MS Mincho" w:hAnsi="Arial"/>
          <w:b/>
          <w:bCs/>
          <w:noProof/>
          <w:color w:val="000000"/>
          <w:sz w:val="24"/>
          <w:szCs w:val="24"/>
          <w:lang w:val="en-US" w:eastAsia="ja-JP"/>
        </w:rPr>
        <w:t>Wuhan, China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711D8273" w:rsidR="00E752F9" w:rsidRPr="004A388F" w:rsidRDefault="00F06B40"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w:t>
      </w:r>
      <w:r w:rsidR="00AC7079">
        <w:rPr>
          <w:rFonts w:ascii="Arial" w:eastAsia="MS Mincho" w:hAnsi="Arial"/>
          <w:b/>
          <w:bCs/>
          <w:noProof/>
          <w:color w:val="000000"/>
          <w:sz w:val="24"/>
          <w:szCs w:val="24"/>
          <w:lang w:eastAsia="ja-JP"/>
        </w:rPr>
        <w:t xml:space="preserve"> </w:t>
      </w:r>
      <w:r w:rsidR="00CC5EC1">
        <w:rPr>
          <w:rFonts w:ascii="Arial" w:eastAsia="MS Mincho" w:hAnsi="Arial"/>
          <w:b/>
          <w:bCs/>
          <w:noProof/>
          <w:color w:val="000000"/>
          <w:sz w:val="24"/>
          <w:szCs w:val="24"/>
          <w:lang w:eastAsia="ja-JP"/>
        </w:rPr>
        <w:t>7-11</w:t>
      </w:r>
      <w:r w:rsidR="00AC7079">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60F6321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D87DB0">
        <w:rPr>
          <w:rFonts w:ascii="Arial" w:eastAsia="MS Gothic" w:hAnsi="Arial" w:cs="Arial"/>
          <w:b/>
          <w:sz w:val="24"/>
          <w:szCs w:val="24"/>
          <w:lang w:eastAsia="ja-JP"/>
        </w:rPr>
        <w:t>7.1.1.2.2</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053C48C6"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F06B40">
        <w:rPr>
          <w:rFonts w:ascii="Arial" w:eastAsia="MS Gothic" w:hAnsi="Arial"/>
          <w:b/>
          <w:color w:val="000000"/>
          <w:sz w:val="24"/>
          <w:lang w:eastAsia="ja-JP"/>
        </w:rPr>
        <w:t>Bandwidth Extension for Intra-Band UL CA</w:t>
      </w:r>
      <w:r w:rsidR="00CC5EC1">
        <w:rPr>
          <w:rFonts w:ascii="Arial" w:eastAsia="MS Gothic" w:hAnsi="Arial"/>
          <w:b/>
          <w:color w:val="000000"/>
          <w:sz w:val="24"/>
          <w:lang w:eastAsia="ja-JP"/>
        </w:rPr>
        <w:t xml:space="preserve"> with </w:t>
      </w:r>
      <w:r w:rsidR="00BF30A9">
        <w:rPr>
          <w:rFonts w:ascii="Arial" w:eastAsia="MS Gothic" w:hAnsi="Arial"/>
          <w:b/>
          <w:color w:val="000000"/>
          <w:sz w:val="24"/>
          <w:lang w:eastAsia="ja-JP"/>
        </w:rPr>
        <w:t xml:space="preserve">a </w:t>
      </w:r>
      <w:r w:rsidR="000F17E3">
        <w:rPr>
          <w:rFonts w:ascii="Arial" w:eastAsia="MS Gothic" w:hAnsi="Arial"/>
          <w:b/>
          <w:color w:val="000000"/>
          <w:sz w:val="24"/>
          <w:lang w:eastAsia="ja-JP"/>
        </w:rPr>
        <w:t>S</w:t>
      </w:r>
      <w:r w:rsidR="00CC5EC1">
        <w:rPr>
          <w:rFonts w:ascii="Arial" w:eastAsia="MS Gothic" w:hAnsi="Arial"/>
          <w:b/>
          <w:color w:val="000000"/>
          <w:sz w:val="24"/>
          <w:lang w:eastAsia="ja-JP"/>
        </w:rPr>
        <w:t>ingle CC</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62FE628" w14:textId="211CA203" w:rsidR="00F06B40" w:rsidRDefault="00F06B40" w:rsidP="0084638E">
      <w:pPr>
        <w:spacing w:after="120"/>
        <w:rPr>
          <w:rFonts w:eastAsia="MS Gothic"/>
          <w:sz w:val="22"/>
          <w:szCs w:val="22"/>
          <w:lang w:eastAsia="ja-JP"/>
        </w:rPr>
      </w:pPr>
      <w:r>
        <w:rPr>
          <w:rFonts w:eastAsia="MS Gothic"/>
          <w:sz w:val="22"/>
          <w:szCs w:val="22"/>
          <w:lang w:eastAsia="ja-JP"/>
        </w:rPr>
        <w:t>In RAN4#113 it was agreed that for uplink CA with a single activated cell, the uplink CA emissions requirements should apply</w:t>
      </w:r>
      <w:r w:rsidR="00CC5EC1">
        <w:rPr>
          <w:rFonts w:eastAsia="MS Gothic"/>
          <w:sz w:val="22"/>
          <w:szCs w:val="22"/>
          <w:lang w:eastAsia="ja-JP"/>
        </w:rPr>
        <w:t xml:space="preserve"> so that the MPR for the single activated cell </w:t>
      </w:r>
      <w:r w:rsidR="00C60AA4">
        <w:rPr>
          <w:rFonts w:eastAsia="MS Gothic"/>
          <w:sz w:val="22"/>
          <w:szCs w:val="22"/>
          <w:lang w:eastAsia="ja-JP"/>
        </w:rPr>
        <w:t>can</w:t>
      </w:r>
      <w:r w:rsidR="00CC5EC1">
        <w:rPr>
          <w:rFonts w:eastAsia="MS Gothic"/>
          <w:sz w:val="22"/>
          <w:szCs w:val="22"/>
          <w:lang w:eastAsia="ja-JP"/>
        </w:rPr>
        <w:t xml:space="preserve"> be </w:t>
      </w:r>
      <w:r w:rsidR="00FF551A">
        <w:rPr>
          <w:rFonts w:eastAsia="MS Gothic"/>
          <w:sz w:val="22"/>
          <w:szCs w:val="22"/>
          <w:lang w:eastAsia="ja-JP"/>
        </w:rPr>
        <w:t>used instead of the CA MPR</w:t>
      </w:r>
      <w:r>
        <w:rPr>
          <w:rFonts w:eastAsia="MS Gothic"/>
          <w:sz w:val="22"/>
          <w:szCs w:val="22"/>
          <w:lang w:eastAsia="ja-JP"/>
        </w:rPr>
        <w:t xml:space="preserve">.  Based on this agreement, it seems that the </w:t>
      </w:r>
      <w:r w:rsidR="00815030">
        <w:rPr>
          <w:rFonts w:eastAsia="MS Gothic"/>
          <w:sz w:val="22"/>
          <w:szCs w:val="22"/>
          <w:lang w:eastAsia="ja-JP"/>
        </w:rPr>
        <w:t xml:space="preserve">CA bandwidth can be considered as an extended channel bandwidth for the single activated cell and the inner MPR region of the single activated cell can be expanded in the same manner as for an extended channel bandwidth applied to a single carrier without carrier aggregation.  </w:t>
      </w:r>
    </w:p>
    <w:p w14:paraId="440B0355" w14:textId="4AAD123B" w:rsidR="00815030" w:rsidRDefault="00815030" w:rsidP="00815030">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Extended Channel Bandwidth with Single Activated Cell</w:t>
      </w:r>
    </w:p>
    <w:p w14:paraId="032119BD" w14:textId="76B157A6" w:rsidR="00D5373E" w:rsidRPr="006166A7" w:rsidRDefault="00D5373E" w:rsidP="00D5373E">
      <w:pPr>
        <w:rPr>
          <w:sz w:val="22"/>
          <w:szCs w:val="22"/>
        </w:rPr>
      </w:pPr>
      <w:bookmarkStart w:id="2" w:name="_Hlk189768781"/>
      <w:r w:rsidRPr="006166A7">
        <w:rPr>
          <w:sz w:val="22"/>
          <w:szCs w:val="22"/>
        </w:rPr>
        <w:t>In RAN4#113, it was agreed that for uplink CA with a single activated cell, the uplink CA emissions should apply</w:t>
      </w:r>
      <w:r w:rsidR="00FF551A">
        <w:rPr>
          <w:sz w:val="22"/>
          <w:szCs w:val="22"/>
        </w:rPr>
        <w:t xml:space="preserve"> </w:t>
      </w:r>
      <w:r w:rsidR="00FF551A">
        <w:rPr>
          <w:rFonts w:eastAsia="MS Gothic"/>
          <w:sz w:val="22"/>
          <w:szCs w:val="22"/>
          <w:lang w:eastAsia="ja-JP"/>
        </w:rPr>
        <w:t xml:space="preserve">so that the MPR for the single activated cell </w:t>
      </w:r>
      <w:r w:rsidR="00C60AA4">
        <w:rPr>
          <w:rFonts w:eastAsia="MS Gothic"/>
          <w:sz w:val="22"/>
          <w:szCs w:val="22"/>
          <w:lang w:eastAsia="ja-JP"/>
        </w:rPr>
        <w:t>can</w:t>
      </w:r>
      <w:r w:rsidR="00FF551A">
        <w:rPr>
          <w:rFonts w:eastAsia="MS Gothic"/>
          <w:sz w:val="22"/>
          <w:szCs w:val="22"/>
          <w:lang w:eastAsia="ja-JP"/>
        </w:rPr>
        <w:t xml:space="preserve"> be used instead of the CA MPR</w:t>
      </w:r>
      <w:r w:rsidRPr="006166A7">
        <w:rPr>
          <w:sz w:val="22"/>
          <w:szCs w:val="22"/>
        </w:rPr>
        <w:t>.  With this agreement, the CA bandwidth can be considered an extended channel bandwidth for the single activated cell and the inner MPR region of the single activated cell can be expanded</w:t>
      </w:r>
      <w:r w:rsidR="00825AE1" w:rsidRPr="006166A7">
        <w:rPr>
          <w:sz w:val="22"/>
          <w:szCs w:val="22"/>
        </w:rPr>
        <w:t xml:space="preserve">. The </w:t>
      </w:r>
      <w:bookmarkEnd w:id="2"/>
      <w:r w:rsidR="00825AE1" w:rsidRPr="006166A7">
        <w:rPr>
          <w:sz w:val="22"/>
          <w:szCs w:val="22"/>
        </w:rPr>
        <w:t>situation is illustrated in Figure 1 below.</w:t>
      </w:r>
    </w:p>
    <w:p w14:paraId="7C9DD859" w14:textId="0A87D268" w:rsidR="00D5373E" w:rsidRDefault="00825AE1" w:rsidP="00D5373E">
      <w:r w:rsidRPr="00825AE1">
        <w:rPr>
          <w:noProof/>
        </w:rPr>
        <w:drawing>
          <wp:inline distT="0" distB="0" distL="0" distR="0" wp14:anchorId="70C75983" wp14:editId="55E9C63F">
            <wp:extent cx="5943600" cy="1672590"/>
            <wp:effectExtent l="0" t="0" r="0" b="3810"/>
            <wp:docPr id="1361400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72590"/>
                    </a:xfrm>
                    <a:prstGeom prst="rect">
                      <a:avLst/>
                    </a:prstGeom>
                    <a:noFill/>
                    <a:ln>
                      <a:noFill/>
                    </a:ln>
                  </pic:spPr>
                </pic:pic>
              </a:graphicData>
            </a:graphic>
          </wp:inline>
        </w:drawing>
      </w:r>
    </w:p>
    <w:p w14:paraId="189A1E8F" w14:textId="4B011D6F" w:rsidR="00D5373E" w:rsidRDefault="009B2F2E" w:rsidP="00D5373E">
      <w:r w:rsidRPr="009B2F2E">
        <w:rPr>
          <w:noProof/>
        </w:rPr>
        <w:drawing>
          <wp:inline distT="0" distB="0" distL="0" distR="0" wp14:anchorId="0C635449" wp14:editId="6D055003">
            <wp:extent cx="5943600" cy="1672590"/>
            <wp:effectExtent l="0" t="0" r="0" b="3810"/>
            <wp:docPr id="9730457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672590"/>
                    </a:xfrm>
                    <a:prstGeom prst="rect">
                      <a:avLst/>
                    </a:prstGeom>
                    <a:noFill/>
                    <a:ln>
                      <a:noFill/>
                    </a:ln>
                  </pic:spPr>
                </pic:pic>
              </a:graphicData>
            </a:graphic>
          </wp:inline>
        </w:drawing>
      </w:r>
    </w:p>
    <w:p w14:paraId="4025A636" w14:textId="19B2C690" w:rsidR="00F33932" w:rsidRDefault="009B2F2E" w:rsidP="00F33932">
      <w:pPr>
        <w:jc w:val="center"/>
        <w:rPr>
          <w:sz w:val="22"/>
          <w:szCs w:val="22"/>
        </w:rPr>
      </w:pPr>
      <w:r w:rsidRPr="006166A7">
        <w:rPr>
          <w:sz w:val="22"/>
          <w:szCs w:val="22"/>
        </w:rPr>
        <w:lastRenderedPageBreak/>
        <w:t>Figure 1:  Extended Channel Bandwidth for Intra-Band Uplink CA with Single Activated Carrier</w:t>
      </w:r>
    </w:p>
    <w:p w14:paraId="1F760F94" w14:textId="4E787DA4" w:rsidR="00EC58F5" w:rsidRDefault="00DD2BC2" w:rsidP="006166A7">
      <w:pPr>
        <w:rPr>
          <w:sz w:val="22"/>
          <w:szCs w:val="22"/>
        </w:rPr>
      </w:pPr>
      <w:r>
        <w:rPr>
          <w:sz w:val="22"/>
          <w:szCs w:val="22"/>
        </w:rPr>
        <w:t xml:space="preserve">If the aggregated channel bandwidth is taken to be the extended channel bandwidth for the single activated carrier, then the inner region can be defined as </w:t>
      </w:r>
      <w:r w:rsidR="005E3B9B">
        <w:rPr>
          <w:sz w:val="22"/>
          <w:szCs w:val="22"/>
        </w:rPr>
        <w:t>below</w:t>
      </w:r>
      <w:r>
        <w:rPr>
          <w:sz w:val="22"/>
          <w:szCs w:val="22"/>
        </w:rPr>
        <w:t>.  Let N</w:t>
      </w:r>
      <w:r w:rsidRPr="00DD2BC2">
        <w:rPr>
          <w:sz w:val="22"/>
          <w:szCs w:val="22"/>
          <w:vertAlign w:val="subscript"/>
        </w:rPr>
        <w:t>RB,1</w:t>
      </w:r>
      <w:r>
        <w:rPr>
          <w:sz w:val="22"/>
          <w:szCs w:val="22"/>
        </w:rPr>
        <w:t xml:space="preserve"> and N</w:t>
      </w:r>
      <w:r w:rsidRPr="00DD2BC2">
        <w:rPr>
          <w:sz w:val="22"/>
          <w:szCs w:val="22"/>
          <w:vertAlign w:val="subscript"/>
        </w:rPr>
        <w:t>RB,2</w:t>
      </w:r>
      <w:r>
        <w:rPr>
          <w:sz w:val="22"/>
          <w:szCs w:val="22"/>
        </w:rPr>
        <w:t xml:space="preserve"> denote the transmission bandwidth configuration for first and second aggregated carriers and let </w:t>
      </w:r>
      <w:proofErr w:type="spellStart"/>
      <w:proofErr w:type="gramStart"/>
      <w:r w:rsidR="00F33932" w:rsidRPr="006166A7">
        <w:rPr>
          <w:sz w:val="22"/>
          <w:szCs w:val="22"/>
        </w:rPr>
        <w:t>N</w:t>
      </w:r>
      <w:r w:rsidR="00F33932" w:rsidRPr="00DD2BC2">
        <w:rPr>
          <w:sz w:val="22"/>
          <w:szCs w:val="22"/>
          <w:vertAlign w:val="subscript"/>
        </w:rPr>
        <w:t>RB,Extended</w:t>
      </w:r>
      <w:proofErr w:type="spellEnd"/>
      <w:proofErr w:type="gramEnd"/>
      <w:r w:rsidR="00F33932" w:rsidRPr="00DD2BC2">
        <w:rPr>
          <w:sz w:val="22"/>
          <w:szCs w:val="22"/>
          <w:vertAlign w:val="subscript"/>
        </w:rPr>
        <w:t xml:space="preserve"> </w:t>
      </w:r>
      <w:r w:rsidR="00F33932" w:rsidRPr="006166A7">
        <w:rPr>
          <w:sz w:val="22"/>
          <w:szCs w:val="22"/>
        </w:rPr>
        <w:t>= N</w:t>
      </w:r>
      <w:r w:rsidR="00F33932" w:rsidRPr="00DD2BC2">
        <w:rPr>
          <w:sz w:val="22"/>
          <w:szCs w:val="22"/>
          <w:vertAlign w:val="subscript"/>
        </w:rPr>
        <w:t>RB,1</w:t>
      </w:r>
      <w:r w:rsidR="00F33932" w:rsidRPr="006166A7">
        <w:rPr>
          <w:sz w:val="22"/>
          <w:szCs w:val="22"/>
        </w:rPr>
        <w:t xml:space="preserve"> + N</w:t>
      </w:r>
      <w:r w:rsidR="00F33932" w:rsidRPr="00DD2BC2">
        <w:rPr>
          <w:sz w:val="22"/>
          <w:szCs w:val="22"/>
          <w:vertAlign w:val="subscript"/>
        </w:rPr>
        <w:t>RB,2</w:t>
      </w:r>
      <w:r w:rsidR="00EC58F5">
        <w:rPr>
          <w:sz w:val="22"/>
          <w:szCs w:val="22"/>
        </w:rPr>
        <w:t xml:space="preserve">.  If the UE transmits on the </w:t>
      </w:r>
      <w:r w:rsidR="000E01F8">
        <w:rPr>
          <w:sz w:val="22"/>
          <w:szCs w:val="22"/>
        </w:rPr>
        <w:t>lower frequency</w:t>
      </w:r>
      <w:r w:rsidR="00EC58F5">
        <w:rPr>
          <w:sz w:val="22"/>
          <w:szCs w:val="22"/>
        </w:rPr>
        <w:t xml:space="preserve"> carrier, then the inner region can be defined </w:t>
      </w:r>
      <w:r w:rsidR="0069307B">
        <w:rPr>
          <w:sz w:val="22"/>
          <w:szCs w:val="22"/>
        </w:rPr>
        <w:t xml:space="preserve">(similar to [2]) </w:t>
      </w:r>
      <w:r w:rsidR="00EC58F5">
        <w:rPr>
          <w:sz w:val="22"/>
          <w:szCs w:val="22"/>
        </w:rPr>
        <w:t xml:space="preserve">such that the starting </w:t>
      </w:r>
      <w:proofErr w:type="spellStart"/>
      <w:r w:rsidR="00EC58F5">
        <w:rPr>
          <w:sz w:val="22"/>
          <w:szCs w:val="22"/>
        </w:rPr>
        <w:t>RB</w:t>
      </w:r>
      <w:r w:rsidR="00176D8E" w:rsidRPr="00EC58F5">
        <w:rPr>
          <w:sz w:val="22"/>
          <w:szCs w:val="22"/>
          <w:vertAlign w:val="subscript"/>
        </w:rPr>
        <w:t>Start</w:t>
      </w:r>
      <w:proofErr w:type="spellEnd"/>
      <w:r w:rsidR="00EC58F5">
        <w:rPr>
          <w:sz w:val="22"/>
          <w:szCs w:val="22"/>
        </w:rPr>
        <w:t xml:space="preserve"> </w:t>
      </w:r>
      <w:r w:rsidR="000E01F8">
        <w:rPr>
          <w:sz w:val="22"/>
          <w:szCs w:val="22"/>
        </w:rPr>
        <w:t>satisfies</w:t>
      </w:r>
      <w:r w:rsidR="00EC58F5">
        <w:rPr>
          <w:sz w:val="22"/>
          <w:szCs w:val="22"/>
        </w:rPr>
        <w:t xml:space="preserve"> </w:t>
      </w:r>
    </w:p>
    <w:p w14:paraId="5D0BF089" w14:textId="020B977E" w:rsidR="00EC58F5" w:rsidRPr="00EC58F5" w:rsidRDefault="00EC58F5" w:rsidP="0019434E">
      <w:pPr>
        <w:spacing w:after="0"/>
        <w:jc w:val="center"/>
        <w:rPr>
          <w:sz w:val="22"/>
          <w:szCs w:val="22"/>
        </w:rPr>
      </w:pPr>
      <w:proofErr w:type="spellStart"/>
      <w:proofErr w:type="gramStart"/>
      <w:r w:rsidRPr="006166A7">
        <w:rPr>
          <w:sz w:val="22"/>
          <w:szCs w:val="22"/>
        </w:rPr>
        <w:t>RB</w:t>
      </w:r>
      <w:r w:rsidRPr="00EC58F5">
        <w:rPr>
          <w:sz w:val="22"/>
          <w:szCs w:val="22"/>
          <w:vertAlign w:val="subscript"/>
        </w:rPr>
        <w:t>Start,</w:t>
      </w:r>
      <w:r>
        <w:rPr>
          <w:sz w:val="22"/>
          <w:szCs w:val="22"/>
          <w:vertAlign w:val="subscript"/>
        </w:rPr>
        <w:t>Low</w:t>
      </w:r>
      <w:proofErr w:type="gramEnd"/>
      <w:r w:rsidRPr="00EC58F5">
        <w:rPr>
          <w:sz w:val="22"/>
          <w:szCs w:val="22"/>
          <w:vertAlign w:val="subscript"/>
        </w:rPr>
        <w:t>,Extended</w:t>
      </w:r>
      <w:proofErr w:type="spellEnd"/>
      <w:r>
        <w:rPr>
          <w:sz w:val="22"/>
          <w:szCs w:val="22"/>
        </w:rPr>
        <w:t xml:space="preserve">  ≤  </w:t>
      </w:r>
      <w:proofErr w:type="spellStart"/>
      <w:r w:rsidRPr="006166A7">
        <w:rPr>
          <w:sz w:val="22"/>
          <w:szCs w:val="22"/>
        </w:rPr>
        <w:t>RB</w:t>
      </w:r>
      <w:r w:rsidRPr="00EC58F5">
        <w:rPr>
          <w:sz w:val="22"/>
          <w:szCs w:val="22"/>
          <w:vertAlign w:val="subscript"/>
        </w:rPr>
        <w:t>Start</w:t>
      </w:r>
      <w:proofErr w:type="spellEnd"/>
      <w:r>
        <w:rPr>
          <w:sz w:val="22"/>
          <w:szCs w:val="22"/>
        </w:rPr>
        <w:t xml:space="preserve">  ≤  </w:t>
      </w:r>
      <w:proofErr w:type="spellStart"/>
      <w:r w:rsidRPr="006166A7">
        <w:rPr>
          <w:sz w:val="22"/>
          <w:szCs w:val="22"/>
        </w:rPr>
        <w:t>RB</w:t>
      </w:r>
      <w:r w:rsidRPr="00EC58F5">
        <w:rPr>
          <w:sz w:val="22"/>
          <w:szCs w:val="22"/>
          <w:vertAlign w:val="subscript"/>
        </w:rPr>
        <w:t>Start,High,Extended</w:t>
      </w:r>
      <w:proofErr w:type="spellEnd"/>
    </w:p>
    <w:p w14:paraId="2EAEDEFB" w14:textId="3CB05495" w:rsidR="00176D8E" w:rsidRDefault="0019434E" w:rsidP="0019434E">
      <w:pPr>
        <w:spacing w:after="0"/>
        <w:rPr>
          <w:sz w:val="22"/>
          <w:szCs w:val="22"/>
        </w:rPr>
      </w:pPr>
      <w:proofErr w:type="gramStart"/>
      <w:r>
        <w:rPr>
          <w:sz w:val="22"/>
          <w:szCs w:val="22"/>
        </w:rPr>
        <w:t>w</w:t>
      </w:r>
      <w:r w:rsidR="00EC58F5">
        <w:rPr>
          <w:sz w:val="22"/>
          <w:szCs w:val="22"/>
        </w:rPr>
        <w:t>here</w:t>
      </w:r>
      <w:proofErr w:type="gramEnd"/>
      <w:r w:rsidR="00176D8E">
        <w:rPr>
          <w:sz w:val="22"/>
          <w:szCs w:val="22"/>
        </w:rPr>
        <w:t xml:space="preserve">  </w:t>
      </w:r>
    </w:p>
    <w:p w14:paraId="30DB003B" w14:textId="153AC73A" w:rsidR="0019434E" w:rsidRDefault="00176D8E" w:rsidP="005E3B9B">
      <w:pPr>
        <w:jc w:val="center"/>
        <w:rPr>
          <w:sz w:val="22"/>
          <w:szCs w:val="22"/>
        </w:rPr>
      </w:pPr>
      <w:proofErr w:type="spellStart"/>
      <w:proofErr w:type="gramStart"/>
      <w:r w:rsidRPr="006166A7">
        <w:rPr>
          <w:sz w:val="22"/>
          <w:szCs w:val="22"/>
        </w:rPr>
        <w:t>RB</w:t>
      </w:r>
      <w:r w:rsidRPr="00176D8E">
        <w:rPr>
          <w:sz w:val="22"/>
          <w:szCs w:val="22"/>
          <w:vertAlign w:val="subscript"/>
        </w:rPr>
        <w:t>Start,Low</w:t>
      </w:r>
      <w:proofErr w:type="gramEnd"/>
      <w:r w:rsidRPr="00176D8E">
        <w:rPr>
          <w:sz w:val="22"/>
          <w:szCs w:val="22"/>
          <w:vertAlign w:val="subscript"/>
        </w:rPr>
        <w:t>,Extended</w:t>
      </w:r>
      <w:proofErr w:type="spellEnd"/>
      <w:r w:rsidRPr="006166A7">
        <w:rPr>
          <w:sz w:val="22"/>
          <w:szCs w:val="22"/>
        </w:rPr>
        <w:t xml:space="preserve"> = max(1, floor(L</w:t>
      </w:r>
      <w:r w:rsidRPr="0019434E">
        <w:rPr>
          <w:sz w:val="22"/>
          <w:szCs w:val="22"/>
          <w:vertAlign w:val="subscript"/>
        </w:rPr>
        <w:t>CRB</w:t>
      </w:r>
      <w:r w:rsidRPr="006166A7">
        <w:rPr>
          <w:sz w:val="22"/>
          <w:szCs w:val="22"/>
        </w:rPr>
        <w:t>/2))</w:t>
      </w:r>
      <w:r w:rsidR="005E3B9B">
        <w:rPr>
          <w:sz w:val="22"/>
          <w:szCs w:val="22"/>
        </w:rPr>
        <w:t xml:space="preserve"> ,</w:t>
      </w:r>
      <w:r>
        <w:rPr>
          <w:sz w:val="22"/>
          <w:szCs w:val="22"/>
        </w:rPr>
        <w:t xml:space="preserve"> </w:t>
      </w:r>
    </w:p>
    <w:p w14:paraId="04583063" w14:textId="78F98AF4" w:rsidR="00176D8E" w:rsidRPr="005E3B9B" w:rsidRDefault="00176D8E" w:rsidP="0019434E">
      <w:pPr>
        <w:jc w:val="center"/>
        <w:rPr>
          <w:sz w:val="22"/>
          <w:szCs w:val="22"/>
        </w:rPr>
      </w:pPr>
      <w:proofErr w:type="spellStart"/>
      <w:proofErr w:type="gramStart"/>
      <w:r w:rsidRPr="006166A7">
        <w:rPr>
          <w:sz w:val="22"/>
          <w:szCs w:val="22"/>
        </w:rPr>
        <w:t>RB</w:t>
      </w:r>
      <w:r w:rsidRPr="0019434E">
        <w:rPr>
          <w:sz w:val="22"/>
          <w:szCs w:val="22"/>
          <w:vertAlign w:val="subscript"/>
        </w:rPr>
        <w:t>Start,High</w:t>
      </w:r>
      <w:proofErr w:type="gramEnd"/>
      <w:r w:rsidRPr="0019434E">
        <w:rPr>
          <w:sz w:val="22"/>
          <w:szCs w:val="22"/>
          <w:vertAlign w:val="subscript"/>
        </w:rPr>
        <w:t>,Extended</w:t>
      </w:r>
      <w:proofErr w:type="spellEnd"/>
      <w:r w:rsidRPr="006166A7">
        <w:rPr>
          <w:sz w:val="22"/>
          <w:szCs w:val="22"/>
        </w:rPr>
        <w:t xml:space="preserve"> = </w:t>
      </w:r>
      <w:proofErr w:type="spellStart"/>
      <w:r w:rsidRPr="000E01F8">
        <w:rPr>
          <w:sz w:val="22"/>
          <w:szCs w:val="22"/>
        </w:rPr>
        <w:t>N</w:t>
      </w:r>
      <w:r w:rsidRPr="0019434E">
        <w:rPr>
          <w:sz w:val="22"/>
          <w:szCs w:val="22"/>
          <w:vertAlign w:val="subscript"/>
        </w:rPr>
        <w:t>RB,Extended</w:t>
      </w:r>
      <w:proofErr w:type="spellEnd"/>
      <w:r w:rsidR="0019434E">
        <w:rPr>
          <w:sz w:val="22"/>
          <w:szCs w:val="22"/>
        </w:rPr>
        <w:t xml:space="preserve"> </w:t>
      </w:r>
      <w:r w:rsidRPr="006166A7">
        <w:rPr>
          <w:sz w:val="22"/>
          <w:szCs w:val="22"/>
        </w:rPr>
        <w:t xml:space="preserve">– </w:t>
      </w:r>
      <w:proofErr w:type="spellStart"/>
      <w:r w:rsidRPr="006166A7">
        <w:rPr>
          <w:sz w:val="22"/>
          <w:szCs w:val="22"/>
        </w:rPr>
        <w:t>RB</w:t>
      </w:r>
      <w:r w:rsidRPr="0019434E">
        <w:rPr>
          <w:sz w:val="22"/>
          <w:szCs w:val="22"/>
          <w:vertAlign w:val="subscript"/>
        </w:rPr>
        <w:t>Start,Low,Extended</w:t>
      </w:r>
      <w:proofErr w:type="spellEnd"/>
      <w:r w:rsidRPr="006166A7">
        <w:rPr>
          <w:sz w:val="22"/>
          <w:szCs w:val="22"/>
        </w:rPr>
        <w:t xml:space="preserve"> – L</w:t>
      </w:r>
      <w:r w:rsidRPr="0019434E">
        <w:rPr>
          <w:sz w:val="22"/>
          <w:szCs w:val="22"/>
          <w:vertAlign w:val="subscript"/>
        </w:rPr>
        <w:t>CRB</w:t>
      </w:r>
      <w:r w:rsidR="005E3B9B">
        <w:rPr>
          <w:sz w:val="22"/>
          <w:szCs w:val="22"/>
        </w:rPr>
        <w:t xml:space="preserve"> ,</w:t>
      </w:r>
    </w:p>
    <w:p w14:paraId="7D2712A1" w14:textId="4D54F75B" w:rsidR="006166A7" w:rsidRDefault="005E3B9B" w:rsidP="000E01F8">
      <w:pPr>
        <w:rPr>
          <w:sz w:val="22"/>
          <w:szCs w:val="22"/>
        </w:rPr>
      </w:pPr>
      <w:r w:rsidRPr="006166A7">
        <w:rPr>
          <w:sz w:val="22"/>
          <w:szCs w:val="22"/>
        </w:rPr>
        <w:t>L</w:t>
      </w:r>
      <w:r w:rsidRPr="0019434E">
        <w:rPr>
          <w:sz w:val="22"/>
          <w:szCs w:val="22"/>
          <w:vertAlign w:val="subscript"/>
        </w:rPr>
        <w:t>CRB</w:t>
      </w:r>
      <w:r>
        <w:rPr>
          <w:sz w:val="22"/>
          <w:szCs w:val="22"/>
          <w:vertAlign w:val="subscript"/>
        </w:rPr>
        <w:t xml:space="preserve"> </w:t>
      </w:r>
      <w:r>
        <w:rPr>
          <w:sz w:val="22"/>
          <w:szCs w:val="22"/>
        </w:rPr>
        <w:t>≤ N</w:t>
      </w:r>
      <w:r w:rsidRPr="00DD2BC2">
        <w:rPr>
          <w:sz w:val="22"/>
          <w:szCs w:val="22"/>
          <w:vertAlign w:val="subscript"/>
        </w:rPr>
        <w:t>RB,1</w:t>
      </w:r>
      <w:r w:rsidR="003F364D">
        <w:rPr>
          <w:sz w:val="22"/>
          <w:szCs w:val="22"/>
        </w:rPr>
        <w:t xml:space="preserve">, and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rPr>
        <w:t xml:space="preserve"> is defined in the interval </w:t>
      </w:r>
      <w:proofErr w:type="gramStart"/>
      <w:r w:rsidR="003F364D">
        <w:rPr>
          <w:sz w:val="22"/>
          <w:szCs w:val="22"/>
        </w:rPr>
        <w:t>0</w:t>
      </w:r>
      <w:r w:rsidR="003F364D">
        <w:rPr>
          <w:sz w:val="22"/>
          <w:szCs w:val="22"/>
          <w:vertAlign w:val="subscript"/>
        </w:rPr>
        <w:t xml:space="preserve"> </w:t>
      </w:r>
      <w:r w:rsidR="003F364D">
        <w:rPr>
          <w:sz w:val="22"/>
          <w:szCs w:val="22"/>
        </w:rPr>
        <w:t xml:space="preserve"> ≤</w:t>
      </w:r>
      <w:proofErr w:type="gramEnd"/>
      <w:r w:rsidR="003F364D">
        <w:rPr>
          <w:sz w:val="22"/>
          <w:szCs w:val="22"/>
        </w:rPr>
        <w:t xml:space="preserve">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vertAlign w:val="subscript"/>
        </w:rPr>
        <w:t xml:space="preserve"> </w:t>
      </w:r>
      <w:r w:rsidR="003F364D">
        <w:rPr>
          <w:sz w:val="22"/>
          <w:szCs w:val="22"/>
        </w:rPr>
        <w:t>≤ N</w:t>
      </w:r>
      <w:r w:rsidR="003F364D" w:rsidRPr="00DD2BC2">
        <w:rPr>
          <w:sz w:val="22"/>
          <w:szCs w:val="22"/>
          <w:vertAlign w:val="subscript"/>
        </w:rPr>
        <w:t>RB,1</w:t>
      </w:r>
      <w:r w:rsidR="003F364D">
        <w:rPr>
          <w:sz w:val="22"/>
          <w:szCs w:val="22"/>
        </w:rPr>
        <w:t xml:space="preserve"> -1. </w:t>
      </w:r>
      <w:r>
        <w:rPr>
          <w:sz w:val="22"/>
          <w:szCs w:val="22"/>
        </w:rPr>
        <w:t xml:space="preserve"> </w:t>
      </w:r>
      <w:r w:rsidR="000E01F8">
        <w:rPr>
          <w:sz w:val="22"/>
          <w:szCs w:val="22"/>
        </w:rPr>
        <w:t>Alternatively, i</w:t>
      </w:r>
      <w:r w:rsidR="006166A7" w:rsidRPr="006166A7">
        <w:rPr>
          <w:sz w:val="22"/>
          <w:szCs w:val="22"/>
        </w:rPr>
        <w:t xml:space="preserve">f the UE is configured for CA and transmits on the </w:t>
      </w:r>
      <w:r w:rsidR="000E01F8">
        <w:rPr>
          <w:sz w:val="22"/>
          <w:szCs w:val="22"/>
        </w:rPr>
        <w:t>higher frequency</w:t>
      </w:r>
      <w:r w:rsidR="006166A7" w:rsidRPr="006166A7">
        <w:rPr>
          <w:sz w:val="22"/>
          <w:szCs w:val="22"/>
        </w:rPr>
        <w:t xml:space="preserve"> carrier, then the inner region </w:t>
      </w:r>
      <w:r w:rsidR="000E01F8">
        <w:rPr>
          <w:sz w:val="22"/>
          <w:szCs w:val="22"/>
        </w:rPr>
        <w:t>can be defined such that</w:t>
      </w:r>
    </w:p>
    <w:p w14:paraId="234230E9" w14:textId="7E08F3A7" w:rsidR="000E01F8" w:rsidRPr="00EC58F5" w:rsidRDefault="000E01F8" w:rsidP="000E01F8">
      <w:pPr>
        <w:spacing w:after="0"/>
        <w:jc w:val="center"/>
        <w:rPr>
          <w:sz w:val="22"/>
          <w:szCs w:val="22"/>
        </w:rPr>
      </w:pPr>
      <w:proofErr w:type="spellStart"/>
      <w:proofErr w:type="gramStart"/>
      <w:r w:rsidRPr="006166A7">
        <w:rPr>
          <w:sz w:val="22"/>
          <w:szCs w:val="22"/>
        </w:rPr>
        <w:t>RB</w:t>
      </w:r>
      <w:r w:rsidRPr="00EC58F5">
        <w:rPr>
          <w:sz w:val="22"/>
          <w:szCs w:val="22"/>
          <w:vertAlign w:val="subscript"/>
        </w:rPr>
        <w:t>Start,</w:t>
      </w:r>
      <w:r>
        <w:rPr>
          <w:sz w:val="22"/>
          <w:szCs w:val="22"/>
          <w:vertAlign w:val="subscript"/>
        </w:rPr>
        <w:t>Low</w:t>
      </w:r>
      <w:proofErr w:type="gramEnd"/>
      <w:r w:rsidRPr="00EC58F5">
        <w:rPr>
          <w:sz w:val="22"/>
          <w:szCs w:val="22"/>
          <w:vertAlign w:val="subscript"/>
        </w:rPr>
        <w:t>,Extended</w:t>
      </w:r>
      <w:proofErr w:type="spellEnd"/>
      <w:r>
        <w:rPr>
          <w:sz w:val="22"/>
          <w:szCs w:val="22"/>
        </w:rPr>
        <w:t xml:space="preserve">  ≤  </w:t>
      </w:r>
      <w:proofErr w:type="spellStart"/>
      <w:r w:rsidRPr="006166A7">
        <w:rPr>
          <w:sz w:val="22"/>
          <w:szCs w:val="22"/>
        </w:rPr>
        <w:t>RB</w:t>
      </w:r>
      <w:r w:rsidRPr="00EC58F5">
        <w:rPr>
          <w:sz w:val="22"/>
          <w:szCs w:val="22"/>
          <w:vertAlign w:val="subscript"/>
        </w:rPr>
        <w:t>Start</w:t>
      </w:r>
      <w:proofErr w:type="spellEnd"/>
      <w:r w:rsidR="00ED1466">
        <w:rPr>
          <w:sz w:val="22"/>
          <w:szCs w:val="22"/>
        </w:rPr>
        <w:t xml:space="preserve"> + </w:t>
      </w:r>
      <w:r w:rsidR="00ED1466" w:rsidRPr="006166A7">
        <w:rPr>
          <w:sz w:val="22"/>
          <w:szCs w:val="22"/>
        </w:rPr>
        <w:t>N</w:t>
      </w:r>
      <w:r w:rsidR="00ED1466" w:rsidRPr="00DD2BC2">
        <w:rPr>
          <w:sz w:val="22"/>
          <w:szCs w:val="22"/>
          <w:vertAlign w:val="subscript"/>
        </w:rPr>
        <w:t>RB,1</w:t>
      </w:r>
      <w:r w:rsidR="00ED1466">
        <w:rPr>
          <w:sz w:val="22"/>
          <w:szCs w:val="22"/>
        </w:rPr>
        <w:t xml:space="preserve"> </w:t>
      </w:r>
      <w:r>
        <w:rPr>
          <w:sz w:val="22"/>
          <w:szCs w:val="22"/>
        </w:rPr>
        <w:t xml:space="preserve"> ≤  </w:t>
      </w:r>
      <w:proofErr w:type="spellStart"/>
      <w:r w:rsidRPr="006166A7">
        <w:rPr>
          <w:sz w:val="22"/>
          <w:szCs w:val="22"/>
        </w:rPr>
        <w:t>RB</w:t>
      </w:r>
      <w:r w:rsidRPr="00EC58F5">
        <w:rPr>
          <w:sz w:val="22"/>
          <w:szCs w:val="22"/>
          <w:vertAlign w:val="subscript"/>
        </w:rPr>
        <w:t>Start,High,Extended</w:t>
      </w:r>
      <w:proofErr w:type="spellEnd"/>
    </w:p>
    <w:p w14:paraId="3D5B3190" w14:textId="77777777" w:rsidR="000E01F8" w:rsidRDefault="000E01F8" w:rsidP="000E01F8">
      <w:pPr>
        <w:spacing w:after="0"/>
        <w:rPr>
          <w:sz w:val="22"/>
          <w:szCs w:val="22"/>
        </w:rPr>
      </w:pPr>
      <w:proofErr w:type="gramStart"/>
      <w:r>
        <w:rPr>
          <w:sz w:val="22"/>
          <w:szCs w:val="22"/>
        </w:rPr>
        <w:t>where</w:t>
      </w:r>
      <w:proofErr w:type="gramEnd"/>
      <w:r>
        <w:rPr>
          <w:sz w:val="22"/>
          <w:szCs w:val="22"/>
        </w:rPr>
        <w:t xml:space="preserve">  </w:t>
      </w:r>
    </w:p>
    <w:p w14:paraId="1FFA2C80" w14:textId="64887AE9" w:rsidR="000E01F8" w:rsidRDefault="000E01F8" w:rsidP="005E3B9B">
      <w:pPr>
        <w:jc w:val="center"/>
        <w:rPr>
          <w:sz w:val="22"/>
          <w:szCs w:val="22"/>
        </w:rPr>
      </w:pPr>
      <w:proofErr w:type="spellStart"/>
      <w:proofErr w:type="gramStart"/>
      <w:r w:rsidRPr="006166A7">
        <w:rPr>
          <w:sz w:val="22"/>
          <w:szCs w:val="22"/>
        </w:rPr>
        <w:t>RB</w:t>
      </w:r>
      <w:r w:rsidRPr="00176D8E">
        <w:rPr>
          <w:sz w:val="22"/>
          <w:szCs w:val="22"/>
          <w:vertAlign w:val="subscript"/>
        </w:rPr>
        <w:t>Start,Low</w:t>
      </w:r>
      <w:proofErr w:type="gramEnd"/>
      <w:r w:rsidRPr="00176D8E">
        <w:rPr>
          <w:sz w:val="22"/>
          <w:szCs w:val="22"/>
          <w:vertAlign w:val="subscript"/>
        </w:rPr>
        <w:t>,Extended</w:t>
      </w:r>
      <w:proofErr w:type="spellEnd"/>
      <w:r w:rsidRPr="006166A7">
        <w:rPr>
          <w:sz w:val="22"/>
          <w:szCs w:val="22"/>
        </w:rPr>
        <w:t xml:space="preserve"> = max(1, floor(L</w:t>
      </w:r>
      <w:r w:rsidRPr="0019434E">
        <w:rPr>
          <w:sz w:val="22"/>
          <w:szCs w:val="22"/>
          <w:vertAlign w:val="subscript"/>
        </w:rPr>
        <w:t>CRB</w:t>
      </w:r>
      <w:r w:rsidRPr="006166A7">
        <w:rPr>
          <w:sz w:val="22"/>
          <w:szCs w:val="22"/>
        </w:rPr>
        <w:t>/2))</w:t>
      </w:r>
      <w:r>
        <w:rPr>
          <w:sz w:val="22"/>
          <w:szCs w:val="22"/>
        </w:rPr>
        <w:t xml:space="preserve"> </w:t>
      </w:r>
      <w:r w:rsidR="005E3B9B">
        <w:rPr>
          <w:sz w:val="22"/>
          <w:szCs w:val="22"/>
        </w:rPr>
        <w:t>,</w:t>
      </w:r>
    </w:p>
    <w:p w14:paraId="5B89EA43" w14:textId="7CF908F2" w:rsidR="000E01F8" w:rsidRPr="003F364D" w:rsidRDefault="000E01F8" w:rsidP="000E01F8">
      <w:pPr>
        <w:jc w:val="center"/>
        <w:rPr>
          <w:sz w:val="22"/>
          <w:szCs w:val="22"/>
        </w:rPr>
      </w:pPr>
      <w:proofErr w:type="spellStart"/>
      <w:proofErr w:type="gramStart"/>
      <w:r w:rsidRPr="006166A7">
        <w:rPr>
          <w:sz w:val="22"/>
          <w:szCs w:val="22"/>
        </w:rPr>
        <w:t>RB</w:t>
      </w:r>
      <w:r w:rsidRPr="0019434E">
        <w:rPr>
          <w:sz w:val="22"/>
          <w:szCs w:val="22"/>
          <w:vertAlign w:val="subscript"/>
        </w:rPr>
        <w:t>Start,High</w:t>
      </w:r>
      <w:proofErr w:type="gramEnd"/>
      <w:r w:rsidRPr="0019434E">
        <w:rPr>
          <w:sz w:val="22"/>
          <w:szCs w:val="22"/>
          <w:vertAlign w:val="subscript"/>
        </w:rPr>
        <w:t>,Extended</w:t>
      </w:r>
      <w:proofErr w:type="spellEnd"/>
      <w:r w:rsidRPr="006166A7">
        <w:rPr>
          <w:sz w:val="22"/>
          <w:szCs w:val="22"/>
        </w:rPr>
        <w:t xml:space="preserve"> = </w:t>
      </w:r>
      <w:proofErr w:type="spellStart"/>
      <w:r w:rsidRPr="00ED1466">
        <w:rPr>
          <w:sz w:val="22"/>
          <w:szCs w:val="22"/>
        </w:rPr>
        <w:t>N</w:t>
      </w:r>
      <w:r w:rsidRPr="0019434E">
        <w:rPr>
          <w:sz w:val="22"/>
          <w:szCs w:val="22"/>
          <w:vertAlign w:val="subscript"/>
        </w:rPr>
        <w:t>RB,Extended</w:t>
      </w:r>
      <w:proofErr w:type="spellEnd"/>
      <w:r>
        <w:rPr>
          <w:sz w:val="22"/>
          <w:szCs w:val="22"/>
        </w:rPr>
        <w:t xml:space="preserve"> </w:t>
      </w:r>
      <w:r w:rsidRPr="006166A7">
        <w:rPr>
          <w:sz w:val="22"/>
          <w:szCs w:val="22"/>
        </w:rPr>
        <w:t xml:space="preserve">– </w:t>
      </w:r>
      <w:proofErr w:type="spellStart"/>
      <w:r w:rsidRPr="006166A7">
        <w:rPr>
          <w:sz w:val="22"/>
          <w:szCs w:val="22"/>
        </w:rPr>
        <w:t>RB</w:t>
      </w:r>
      <w:r w:rsidRPr="0019434E">
        <w:rPr>
          <w:sz w:val="22"/>
          <w:szCs w:val="22"/>
          <w:vertAlign w:val="subscript"/>
        </w:rPr>
        <w:t>Start,Low,Extended</w:t>
      </w:r>
      <w:proofErr w:type="spellEnd"/>
      <w:r w:rsidRPr="006166A7">
        <w:rPr>
          <w:sz w:val="22"/>
          <w:szCs w:val="22"/>
        </w:rPr>
        <w:t xml:space="preserve"> – L</w:t>
      </w:r>
      <w:r w:rsidRPr="0019434E">
        <w:rPr>
          <w:sz w:val="22"/>
          <w:szCs w:val="22"/>
          <w:vertAlign w:val="subscript"/>
        </w:rPr>
        <w:t>CRB</w:t>
      </w:r>
      <w:r w:rsidR="003F364D">
        <w:rPr>
          <w:sz w:val="22"/>
          <w:szCs w:val="22"/>
        </w:rPr>
        <w:t xml:space="preserve"> ,</w:t>
      </w:r>
    </w:p>
    <w:p w14:paraId="2DE31449" w14:textId="0F2303C9" w:rsidR="005E3B9B" w:rsidRDefault="005E3B9B" w:rsidP="003F2A82">
      <w:pPr>
        <w:spacing w:after="120"/>
        <w:ind w:left="1440" w:hanging="1440"/>
        <w:rPr>
          <w:sz w:val="22"/>
          <w:szCs w:val="22"/>
        </w:rPr>
      </w:pPr>
      <w:r>
        <w:rPr>
          <w:sz w:val="22"/>
          <w:szCs w:val="22"/>
        </w:rPr>
        <w:t xml:space="preserve">and </w:t>
      </w:r>
      <w:r w:rsidRPr="006166A7">
        <w:rPr>
          <w:sz w:val="22"/>
          <w:szCs w:val="22"/>
        </w:rPr>
        <w:t>L</w:t>
      </w:r>
      <w:r w:rsidRPr="0019434E">
        <w:rPr>
          <w:sz w:val="22"/>
          <w:szCs w:val="22"/>
          <w:vertAlign w:val="subscript"/>
        </w:rPr>
        <w:t>CRB</w:t>
      </w:r>
      <w:r>
        <w:rPr>
          <w:sz w:val="22"/>
          <w:szCs w:val="22"/>
          <w:vertAlign w:val="subscript"/>
        </w:rPr>
        <w:t xml:space="preserve"> </w:t>
      </w:r>
      <w:r>
        <w:rPr>
          <w:sz w:val="22"/>
          <w:szCs w:val="22"/>
        </w:rPr>
        <w:t>≤ N</w:t>
      </w:r>
      <w:r w:rsidRPr="00DD2BC2">
        <w:rPr>
          <w:sz w:val="22"/>
          <w:szCs w:val="22"/>
          <w:vertAlign w:val="subscript"/>
        </w:rPr>
        <w:t>RB,</w:t>
      </w:r>
      <w:r>
        <w:rPr>
          <w:sz w:val="22"/>
          <w:szCs w:val="22"/>
          <w:vertAlign w:val="subscript"/>
        </w:rPr>
        <w:t>2</w:t>
      </w:r>
      <w:r w:rsidR="003F364D">
        <w:rPr>
          <w:sz w:val="22"/>
          <w:szCs w:val="22"/>
        </w:rPr>
        <w:t xml:space="preserve">, and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rPr>
        <w:t xml:space="preserve"> is defined in the interval </w:t>
      </w:r>
      <w:proofErr w:type="gramStart"/>
      <w:r w:rsidR="003F364D">
        <w:rPr>
          <w:sz w:val="22"/>
          <w:szCs w:val="22"/>
        </w:rPr>
        <w:t>0</w:t>
      </w:r>
      <w:r w:rsidR="003F364D">
        <w:rPr>
          <w:sz w:val="22"/>
          <w:szCs w:val="22"/>
          <w:vertAlign w:val="subscript"/>
        </w:rPr>
        <w:t xml:space="preserve"> </w:t>
      </w:r>
      <w:r w:rsidR="003F364D">
        <w:rPr>
          <w:sz w:val="22"/>
          <w:szCs w:val="22"/>
        </w:rPr>
        <w:t xml:space="preserve"> ≤</w:t>
      </w:r>
      <w:proofErr w:type="gramEnd"/>
      <w:r w:rsidR="003F364D">
        <w:rPr>
          <w:sz w:val="22"/>
          <w:szCs w:val="22"/>
        </w:rPr>
        <w:t xml:space="preserve">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vertAlign w:val="subscript"/>
        </w:rPr>
        <w:t xml:space="preserve"> </w:t>
      </w:r>
      <w:r w:rsidR="003F364D">
        <w:rPr>
          <w:sz w:val="22"/>
          <w:szCs w:val="22"/>
        </w:rPr>
        <w:t>≤ N</w:t>
      </w:r>
      <w:r w:rsidR="003F364D" w:rsidRPr="00DD2BC2">
        <w:rPr>
          <w:sz w:val="22"/>
          <w:szCs w:val="22"/>
          <w:vertAlign w:val="subscript"/>
        </w:rPr>
        <w:t>RB,</w:t>
      </w:r>
      <w:r w:rsidR="003F364D">
        <w:rPr>
          <w:sz w:val="22"/>
          <w:szCs w:val="22"/>
          <w:vertAlign w:val="subscript"/>
        </w:rPr>
        <w:t xml:space="preserve">2 </w:t>
      </w:r>
      <w:r w:rsidR="003F364D">
        <w:rPr>
          <w:sz w:val="22"/>
          <w:szCs w:val="22"/>
        </w:rPr>
        <w:t xml:space="preserve"> -1</w:t>
      </w:r>
      <w:r>
        <w:rPr>
          <w:sz w:val="22"/>
          <w:szCs w:val="22"/>
        </w:rPr>
        <w:t xml:space="preserve"> </w:t>
      </w:r>
    </w:p>
    <w:p w14:paraId="4B62EF66" w14:textId="4755491F" w:rsidR="003F2A82" w:rsidRDefault="003F2A82" w:rsidP="003F2A82">
      <w:pPr>
        <w:spacing w:after="120"/>
        <w:ind w:left="1440" w:hanging="1440"/>
        <w:rPr>
          <w:sz w:val="22"/>
          <w:szCs w:val="22"/>
        </w:rPr>
      </w:pPr>
      <w:r w:rsidRPr="00AE5006">
        <w:rPr>
          <w:b/>
          <w:bCs/>
          <w:sz w:val="22"/>
          <w:szCs w:val="22"/>
        </w:rPr>
        <w:t>Proposal:</w:t>
      </w:r>
      <w:r>
        <w:rPr>
          <w:sz w:val="22"/>
          <w:szCs w:val="22"/>
        </w:rPr>
        <w:tab/>
        <w:t>For uplink CA with a single activated carrier, define the extended channel bandwidth as the aggregated carrier bandwidth and apply this extended channel bandwidth to determine the inner MPR region.</w:t>
      </w:r>
    </w:p>
    <w:p w14:paraId="6C77BD8E" w14:textId="682F910B" w:rsidR="003F2A82" w:rsidRDefault="003F2A82" w:rsidP="003F2A82">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39DC87D8" w14:textId="31819912" w:rsidR="003F2A82" w:rsidRDefault="003F2A82" w:rsidP="003F2A82">
      <w:pPr>
        <w:spacing w:after="120"/>
        <w:rPr>
          <w:sz w:val="22"/>
          <w:szCs w:val="22"/>
        </w:rPr>
      </w:pPr>
      <w:r w:rsidRPr="006166A7">
        <w:rPr>
          <w:sz w:val="22"/>
          <w:szCs w:val="22"/>
        </w:rPr>
        <w:t>In RAN4#113, it was agreed that for uplink CA with a single activated cell, the uplink CA emissions should apply</w:t>
      </w:r>
      <w:r w:rsidR="00C60AA4">
        <w:rPr>
          <w:sz w:val="22"/>
          <w:szCs w:val="22"/>
        </w:rPr>
        <w:t xml:space="preserve"> </w:t>
      </w:r>
      <w:r w:rsidR="00C60AA4">
        <w:rPr>
          <w:rFonts w:eastAsia="MS Gothic"/>
          <w:sz w:val="22"/>
          <w:szCs w:val="22"/>
          <w:lang w:eastAsia="ja-JP"/>
        </w:rPr>
        <w:t>so that the MPR for the single activated cell can be used instead of the CA MPR</w:t>
      </w:r>
      <w:r w:rsidRPr="006166A7">
        <w:rPr>
          <w:sz w:val="22"/>
          <w:szCs w:val="22"/>
        </w:rPr>
        <w:t>.  With this agreement, the CA bandwidth can be considered an extended channel bandwidth for the single activated cell and the inner MPR region of the single activated cell can be expanded.</w:t>
      </w:r>
    </w:p>
    <w:p w14:paraId="7BCFB8AC" w14:textId="5D858625" w:rsidR="00FA1F69" w:rsidRDefault="003F2A82" w:rsidP="003F2A82">
      <w:pPr>
        <w:spacing w:after="120"/>
        <w:ind w:left="1440" w:hanging="1440"/>
        <w:rPr>
          <w:sz w:val="22"/>
          <w:szCs w:val="22"/>
        </w:rPr>
      </w:pPr>
      <w:r w:rsidRPr="00AE5006">
        <w:rPr>
          <w:b/>
          <w:bCs/>
          <w:sz w:val="22"/>
          <w:szCs w:val="22"/>
        </w:rPr>
        <w:t>Proposal:</w:t>
      </w:r>
      <w:r>
        <w:rPr>
          <w:sz w:val="22"/>
          <w:szCs w:val="22"/>
        </w:rPr>
        <w:tab/>
        <w:t>For uplink CA with a single activated carrier, define the extended channel bandwidth as the aggregated carrier bandwidth and apply this extended channel bandwidth to determine the inner MPR region.</w:t>
      </w:r>
    </w:p>
    <w:p w14:paraId="291810DB" w14:textId="77777777" w:rsidR="003F2A82" w:rsidRPr="003F2A82" w:rsidRDefault="003F2A82" w:rsidP="003F2A82">
      <w:pPr>
        <w:spacing w:after="120"/>
        <w:ind w:left="1440" w:hanging="1440"/>
        <w:rPr>
          <w:sz w:val="22"/>
          <w:szCs w:val="22"/>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402BFC88" w:rsidR="00002925" w:rsidRPr="0069307B" w:rsidRDefault="00BD3086" w:rsidP="00002925">
      <w:pPr>
        <w:numPr>
          <w:ilvl w:val="0"/>
          <w:numId w:val="21"/>
        </w:numPr>
        <w:spacing w:after="60"/>
        <w:ind w:left="418" w:hanging="418"/>
        <w:rPr>
          <w:rFonts w:eastAsia="MS Gothic"/>
          <w:sz w:val="22"/>
          <w:szCs w:val="22"/>
          <w:lang w:eastAsia="ja-JP"/>
        </w:rPr>
      </w:pPr>
      <w:bookmarkStart w:id="3" w:name="_Ref129967845"/>
      <w:r w:rsidRPr="00BD3086">
        <w:rPr>
          <w:sz w:val="22"/>
          <w:szCs w:val="22"/>
        </w:rPr>
        <w:t>R4-2420527</w:t>
      </w:r>
      <w:r w:rsidR="00BD025F" w:rsidRPr="00713173">
        <w:rPr>
          <w:sz w:val="22"/>
          <w:szCs w:val="22"/>
        </w:rPr>
        <w:t xml:space="preserve">, </w:t>
      </w:r>
      <w:bookmarkEnd w:id="3"/>
      <w:r>
        <w:rPr>
          <w:sz w:val="22"/>
          <w:szCs w:val="22"/>
        </w:rPr>
        <w:t>“</w:t>
      </w:r>
      <w:r w:rsidRPr="00BD3086">
        <w:rPr>
          <w:sz w:val="22"/>
          <w:szCs w:val="22"/>
        </w:rPr>
        <w:t>WF on Power domain enhancement</w:t>
      </w:r>
      <w:r>
        <w:rPr>
          <w:sz w:val="22"/>
          <w:szCs w:val="22"/>
        </w:rPr>
        <w:t xml:space="preserve">,” Huawei, </w:t>
      </w:r>
      <w:proofErr w:type="spellStart"/>
      <w:r>
        <w:rPr>
          <w:sz w:val="22"/>
          <w:szCs w:val="22"/>
        </w:rPr>
        <w:t>HiSilicon</w:t>
      </w:r>
      <w:proofErr w:type="spellEnd"/>
      <w:r>
        <w:rPr>
          <w:sz w:val="22"/>
          <w:szCs w:val="22"/>
        </w:rPr>
        <w:t>, RAN4#113</w:t>
      </w:r>
      <w:r w:rsidR="00002925" w:rsidRPr="00B37F07">
        <w:rPr>
          <w:sz w:val="22"/>
          <w:szCs w:val="22"/>
        </w:rPr>
        <w:t>.</w:t>
      </w:r>
    </w:p>
    <w:p w14:paraId="0F0039EA" w14:textId="1099869E" w:rsidR="0069307B" w:rsidRDefault="0069307B" w:rsidP="0069307B">
      <w:pPr>
        <w:numPr>
          <w:ilvl w:val="0"/>
          <w:numId w:val="21"/>
        </w:numPr>
        <w:spacing w:after="60"/>
        <w:rPr>
          <w:rFonts w:eastAsia="MS Gothic"/>
          <w:sz w:val="22"/>
          <w:szCs w:val="22"/>
          <w:lang w:eastAsia="ja-JP"/>
        </w:rPr>
      </w:pPr>
      <w:r w:rsidRPr="0069307B">
        <w:rPr>
          <w:rFonts w:eastAsia="MS Gothic"/>
          <w:sz w:val="22"/>
          <w:szCs w:val="22"/>
          <w:lang w:eastAsia="ja-JP"/>
        </w:rPr>
        <w:t>R4-2418999</w:t>
      </w:r>
      <w:r>
        <w:rPr>
          <w:rFonts w:eastAsia="MS Gothic"/>
          <w:sz w:val="22"/>
          <w:szCs w:val="22"/>
          <w:lang w:eastAsia="ja-JP"/>
        </w:rPr>
        <w:t>, “</w:t>
      </w:r>
      <w:r w:rsidRPr="0069307B">
        <w:rPr>
          <w:rFonts w:eastAsia="MS Gothic"/>
          <w:sz w:val="22"/>
          <w:szCs w:val="22"/>
          <w:lang w:eastAsia="ja-JP"/>
        </w:rPr>
        <w:t>Discussion on Power domain enhancements for single carrier</w:t>
      </w:r>
      <w:r>
        <w:rPr>
          <w:rFonts w:eastAsia="MS Gothic"/>
          <w:sz w:val="22"/>
          <w:szCs w:val="22"/>
          <w:lang w:eastAsia="ja-JP"/>
        </w:rPr>
        <w:t xml:space="preserve">,” </w:t>
      </w:r>
      <w:r w:rsidRPr="0069307B">
        <w:rPr>
          <w:rFonts w:eastAsia="MS Gothic"/>
          <w:sz w:val="22"/>
          <w:szCs w:val="22"/>
          <w:lang w:eastAsia="ja-JP"/>
        </w:rPr>
        <w:t>LG Electronics UK</w:t>
      </w:r>
      <w:r>
        <w:rPr>
          <w:rFonts w:eastAsia="MS Gothic"/>
          <w:sz w:val="22"/>
          <w:szCs w:val="22"/>
          <w:lang w:eastAsia="ja-JP"/>
        </w:rPr>
        <w:t>, RAN4#113</w:t>
      </w:r>
    </w:p>
    <w:p w14:paraId="1358D726" w14:textId="6A911460" w:rsidR="00CC5EC1" w:rsidRPr="0069307B" w:rsidRDefault="00CC5EC1" w:rsidP="0069307B">
      <w:pPr>
        <w:numPr>
          <w:ilvl w:val="0"/>
          <w:numId w:val="21"/>
        </w:numPr>
        <w:spacing w:after="60"/>
        <w:rPr>
          <w:rFonts w:eastAsia="MS Gothic"/>
          <w:sz w:val="22"/>
          <w:szCs w:val="22"/>
          <w:lang w:eastAsia="ja-JP"/>
        </w:rPr>
      </w:pPr>
      <w:r w:rsidRPr="00CC5EC1">
        <w:rPr>
          <w:rFonts w:eastAsia="MS Gothic"/>
          <w:sz w:val="22"/>
          <w:szCs w:val="22"/>
          <w:lang w:eastAsia="ja-JP"/>
        </w:rPr>
        <w:t>R4-2502252</w:t>
      </w:r>
      <w:r>
        <w:rPr>
          <w:rFonts w:eastAsia="MS Gothic"/>
          <w:sz w:val="22"/>
          <w:szCs w:val="22"/>
          <w:lang w:eastAsia="ja-JP"/>
        </w:rPr>
        <w:t>, “</w:t>
      </w:r>
      <w:r w:rsidRPr="00CC5EC1">
        <w:rPr>
          <w:rFonts w:eastAsia="MS Gothic"/>
          <w:sz w:val="22"/>
          <w:szCs w:val="22"/>
          <w:lang w:eastAsia="ja-JP"/>
        </w:rPr>
        <w:t>Bandwidth Extension for Intra-Band UL CA</w:t>
      </w:r>
      <w:r>
        <w:rPr>
          <w:rFonts w:eastAsia="MS Gothic"/>
          <w:sz w:val="22"/>
          <w:szCs w:val="22"/>
          <w:lang w:eastAsia="ja-JP"/>
        </w:rPr>
        <w:t>,” Lenovo, RAN4#114.</w:t>
      </w:r>
    </w:p>
    <w:bookmarkEnd w:id="1"/>
    <w:p w14:paraId="3EC367D6" w14:textId="77777777" w:rsidR="00204905" w:rsidRDefault="00204905" w:rsidP="00204905">
      <w:pPr>
        <w:spacing w:after="60"/>
        <w:rPr>
          <w:rFonts w:eastAsia="MS Gothic"/>
          <w:sz w:val="22"/>
          <w:szCs w:val="22"/>
          <w:lang w:eastAsia="ja-JP"/>
        </w:rPr>
      </w:pPr>
    </w:p>
    <w:p w14:paraId="1806A552" w14:textId="77777777" w:rsidR="00147A45" w:rsidRDefault="00147A45" w:rsidP="00204905">
      <w:pPr>
        <w:spacing w:after="60"/>
        <w:rPr>
          <w:rFonts w:eastAsia="MS Gothic"/>
          <w:sz w:val="22"/>
          <w:szCs w:val="22"/>
          <w:lang w:eastAsia="ja-JP"/>
        </w:rPr>
      </w:pPr>
    </w:p>
    <w:p w14:paraId="32738124" w14:textId="77777777"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C90ED" w14:textId="77777777" w:rsidR="00180E03" w:rsidRDefault="00180E03" w:rsidP="00E84719">
      <w:pPr>
        <w:spacing w:after="0"/>
      </w:pPr>
      <w:r>
        <w:separator/>
      </w:r>
    </w:p>
  </w:endnote>
  <w:endnote w:type="continuationSeparator" w:id="0">
    <w:p w14:paraId="7BF6DAB5" w14:textId="77777777" w:rsidR="00180E03" w:rsidRDefault="00180E0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C67F" w14:textId="77777777" w:rsidR="00180E03" w:rsidRDefault="00180E03" w:rsidP="00E84719">
      <w:pPr>
        <w:spacing w:after="0"/>
      </w:pPr>
      <w:r>
        <w:separator/>
      </w:r>
    </w:p>
  </w:footnote>
  <w:footnote w:type="continuationSeparator" w:id="0">
    <w:p w14:paraId="5495EC6F" w14:textId="77777777" w:rsidR="00180E03" w:rsidRDefault="00180E0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2"/>
  </w:num>
  <w:num w:numId="2" w16cid:durableId="224729400">
    <w:abstractNumId w:val="41"/>
  </w:num>
  <w:num w:numId="3" w16cid:durableId="621500534">
    <w:abstractNumId w:val="5"/>
  </w:num>
  <w:num w:numId="4" w16cid:durableId="1602373695">
    <w:abstractNumId w:val="28"/>
  </w:num>
  <w:num w:numId="5" w16cid:durableId="646786602">
    <w:abstractNumId w:val="19"/>
  </w:num>
  <w:num w:numId="6" w16cid:durableId="1342003930">
    <w:abstractNumId w:val="38"/>
  </w:num>
  <w:num w:numId="7" w16cid:durableId="824008558">
    <w:abstractNumId w:val="42"/>
  </w:num>
  <w:num w:numId="8" w16cid:durableId="669214655">
    <w:abstractNumId w:val="43"/>
  </w:num>
  <w:num w:numId="9" w16cid:durableId="1483736243">
    <w:abstractNumId w:val="15"/>
  </w:num>
  <w:num w:numId="10" w16cid:durableId="114760664">
    <w:abstractNumId w:val="6"/>
  </w:num>
  <w:num w:numId="11" w16cid:durableId="1973946142">
    <w:abstractNumId w:val="21"/>
  </w:num>
  <w:num w:numId="12" w16cid:durableId="1833594957">
    <w:abstractNumId w:val="26"/>
  </w:num>
  <w:num w:numId="13" w16cid:durableId="1179731215">
    <w:abstractNumId w:val="16"/>
  </w:num>
  <w:num w:numId="14" w16cid:durableId="1537890116">
    <w:abstractNumId w:val="36"/>
  </w:num>
  <w:num w:numId="15" w16cid:durableId="707802589">
    <w:abstractNumId w:val="0"/>
  </w:num>
  <w:num w:numId="16" w16cid:durableId="600452115">
    <w:abstractNumId w:val="3"/>
  </w:num>
  <w:num w:numId="17" w16cid:durableId="2042169108">
    <w:abstractNumId w:val="7"/>
  </w:num>
  <w:num w:numId="18" w16cid:durableId="2059010852">
    <w:abstractNumId w:val="32"/>
  </w:num>
  <w:num w:numId="19" w16cid:durableId="473067481">
    <w:abstractNumId w:val="18"/>
  </w:num>
  <w:num w:numId="20" w16cid:durableId="1342245467">
    <w:abstractNumId w:val="37"/>
  </w:num>
  <w:num w:numId="21" w16cid:durableId="1442532913">
    <w:abstractNumId w:val="9"/>
  </w:num>
  <w:num w:numId="22" w16cid:durableId="1412657150">
    <w:abstractNumId w:val="44"/>
  </w:num>
  <w:num w:numId="23" w16cid:durableId="1155924165">
    <w:abstractNumId w:val="8"/>
  </w:num>
  <w:num w:numId="24" w16cid:durableId="888498951">
    <w:abstractNumId w:val="25"/>
  </w:num>
  <w:num w:numId="25" w16cid:durableId="317345182">
    <w:abstractNumId w:val="2"/>
  </w:num>
  <w:num w:numId="26" w16cid:durableId="2004354106">
    <w:abstractNumId w:val="39"/>
  </w:num>
  <w:num w:numId="27" w16cid:durableId="1311061340">
    <w:abstractNumId w:val="30"/>
  </w:num>
  <w:num w:numId="28" w16cid:durableId="347876660">
    <w:abstractNumId w:val="20"/>
  </w:num>
  <w:num w:numId="29" w16cid:durableId="919750991">
    <w:abstractNumId w:val="4"/>
  </w:num>
  <w:num w:numId="30" w16cid:durableId="826243298">
    <w:abstractNumId w:val="34"/>
  </w:num>
  <w:num w:numId="31" w16cid:durableId="1224752199">
    <w:abstractNumId w:val="27"/>
  </w:num>
  <w:num w:numId="32" w16cid:durableId="1741902105">
    <w:abstractNumId w:val="29"/>
  </w:num>
  <w:num w:numId="33" w16cid:durableId="311443880">
    <w:abstractNumId w:val="14"/>
  </w:num>
  <w:num w:numId="34" w16cid:durableId="773866980">
    <w:abstractNumId w:val="11"/>
  </w:num>
  <w:num w:numId="35" w16cid:durableId="2053309875">
    <w:abstractNumId w:val="33"/>
  </w:num>
  <w:num w:numId="36" w16cid:durableId="1316957454">
    <w:abstractNumId w:val="22"/>
  </w:num>
  <w:num w:numId="37" w16cid:durableId="452333205">
    <w:abstractNumId w:val="17"/>
  </w:num>
  <w:num w:numId="38" w16cid:durableId="1892038321">
    <w:abstractNumId w:val="10"/>
  </w:num>
  <w:num w:numId="39" w16cid:durableId="1779636978">
    <w:abstractNumId w:val="24"/>
  </w:num>
  <w:num w:numId="40" w16cid:durableId="1454247248">
    <w:abstractNumId w:val="13"/>
  </w:num>
  <w:num w:numId="41" w16cid:durableId="845486933">
    <w:abstractNumId w:val="23"/>
  </w:num>
  <w:num w:numId="42" w16cid:durableId="556554165">
    <w:abstractNumId w:val="31"/>
  </w:num>
  <w:num w:numId="43" w16cid:durableId="958299889">
    <w:abstractNumId w:val="1"/>
  </w:num>
  <w:num w:numId="44" w16cid:durableId="1437091173">
    <w:abstractNumId w:val="40"/>
  </w:num>
  <w:num w:numId="45" w16cid:durableId="3314188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5446"/>
    <w:rsid w:val="00006C15"/>
    <w:rsid w:val="0000749C"/>
    <w:rsid w:val="00012165"/>
    <w:rsid w:val="000125F9"/>
    <w:rsid w:val="000136FC"/>
    <w:rsid w:val="00021A64"/>
    <w:rsid w:val="00021FFF"/>
    <w:rsid w:val="000226DC"/>
    <w:rsid w:val="00022BE4"/>
    <w:rsid w:val="000231C2"/>
    <w:rsid w:val="0002322E"/>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3F23"/>
    <w:rsid w:val="00073FF9"/>
    <w:rsid w:val="00074435"/>
    <w:rsid w:val="000747C9"/>
    <w:rsid w:val="000758A8"/>
    <w:rsid w:val="000765E4"/>
    <w:rsid w:val="0008162C"/>
    <w:rsid w:val="00081653"/>
    <w:rsid w:val="00082753"/>
    <w:rsid w:val="00083B99"/>
    <w:rsid w:val="00086FEA"/>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06C6"/>
    <w:rsid w:val="000C2463"/>
    <w:rsid w:val="000C338B"/>
    <w:rsid w:val="000C79C9"/>
    <w:rsid w:val="000C7BA4"/>
    <w:rsid w:val="000D110E"/>
    <w:rsid w:val="000D38C6"/>
    <w:rsid w:val="000D5266"/>
    <w:rsid w:val="000D6E08"/>
    <w:rsid w:val="000E01F8"/>
    <w:rsid w:val="000E1D80"/>
    <w:rsid w:val="000E2832"/>
    <w:rsid w:val="000E2B60"/>
    <w:rsid w:val="000E407D"/>
    <w:rsid w:val="000E630B"/>
    <w:rsid w:val="000E65D1"/>
    <w:rsid w:val="000F0A0F"/>
    <w:rsid w:val="000F16BA"/>
    <w:rsid w:val="000F17E3"/>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459C9"/>
    <w:rsid w:val="00147A45"/>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76D8E"/>
    <w:rsid w:val="00180E03"/>
    <w:rsid w:val="00181C73"/>
    <w:rsid w:val="00183180"/>
    <w:rsid w:val="001832A8"/>
    <w:rsid w:val="00183613"/>
    <w:rsid w:val="00183A87"/>
    <w:rsid w:val="001848A2"/>
    <w:rsid w:val="00186200"/>
    <w:rsid w:val="0019434E"/>
    <w:rsid w:val="001A1961"/>
    <w:rsid w:val="001A2A7E"/>
    <w:rsid w:val="001A3FB8"/>
    <w:rsid w:val="001B243E"/>
    <w:rsid w:val="001B273C"/>
    <w:rsid w:val="001B2889"/>
    <w:rsid w:val="001B3525"/>
    <w:rsid w:val="001B42CE"/>
    <w:rsid w:val="001B6C92"/>
    <w:rsid w:val="001B7E67"/>
    <w:rsid w:val="001C0398"/>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905"/>
    <w:rsid w:val="00204C27"/>
    <w:rsid w:val="00204E90"/>
    <w:rsid w:val="00205573"/>
    <w:rsid w:val="00206EB6"/>
    <w:rsid w:val="00207AB1"/>
    <w:rsid w:val="00207C0D"/>
    <w:rsid w:val="00207F5F"/>
    <w:rsid w:val="002143D7"/>
    <w:rsid w:val="002159A2"/>
    <w:rsid w:val="00224705"/>
    <w:rsid w:val="00224F73"/>
    <w:rsid w:val="002259BC"/>
    <w:rsid w:val="00226C9E"/>
    <w:rsid w:val="00226EDE"/>
    <w:rsid w:val="00227196"/>
    <w:rsid w:val="00230396"/>
    <w:rsid w:val="00230FEC"/>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017"/>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095"/>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2D4D"/>
    <w:rsid w:val="00324C7F"/>
    <w:rsid w:val="003307E5"/>
    <w:rsid w:val="0033094F"/>
    <w:rsid w:val="00332709"/>
    <w:rsid w:val="0033454F"/>
    <w:rsid w:val="00334ADB"/>
    <w:rsid w:val="00335515"/>
    <w:rsid w:val="00336FB6"/>
    <w:rsid w:val="003374FC"/>
    <w:rsid w:val="00340792"/>
    <w:rsid w:val="00342683"/>
    <w:rsid w:val="003427F9"/>
    <w:rsid w:val="00343AA4"/>
    <w:rsid w:val="00345081"/>
    <w:rsid w:val="00345282"/>
    <w:rsid w:val="00345F3F"/>
    <w:rsid w:val="0034607B"/>
    <w:rsid w:val="00346172"/>
    <w:rsid w:val="0034735E"/>
    <w:rsid w:val="00350052"/>
    <w:rsid w:val="00351029"/>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2A82"/>
    <w:rsid w:val="003F364D"/>
    <w:rsid w:val="003F36CB"/>
    <w:rsid w:val="003F47AC"/>
    <w:rsid w:val="003F4B55"/>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0717"/>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648"/>
    <w:rsid w:val="004558F2"/>
    <w:rsid w:val="0046013D"/>
    <w:rsid w:val="00460A8A"/>
    <w:rsid w:val="00461975"/>
    <w:rsid w:val="00461C8C"/>
    <w:rsid w:val="00462FF7"/>
    <w:rsid w:val="004640D9"/>
    <w:rsid w:val="00464295"/>
    <w:rsid w:val="00464F13"/>
    <w:rsid w:val="004666F9"/>
    <w:rsid w:val="0046701D"/>
    <w:rsid w:val="00467D9A"/>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E13"/>
    <w:rsid w:val="00491F9B"/>
    <w:rsid w:val="0049453E"/>
    <w:rsid w:val="00495E94"/>
    <w:rsid w:val="00497E01"/>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5D40"/>
    <w:rsid w:val="005B6E5E"/>
    <w:rsid w:val="005C267B"/>
    <w:rsid w:val="005C33BE"/>
    <w:rsid w:val="005C4A56"/>
    <w:rsid w:val="005C6838"/>
    <w:rsid w:val="005C7DF9"/>
    <w:rsid w:val="005D174B"/>
    <w:rsid w:val="005D1A85"/>
    <w:rsid w:val="005D344F"/>
    <w:rsid w:val="005D6B75"/>
    <w:rsid w:val="005D7256"/>
    <w:rsid w:val="005E099E"/>
    <w:rsid w:val="005E190A"/>
    <w:rsid w:val="005E31BD"/>
    <w:rsid w:val="005E3B9B"/>
    <w:rsid w:val="005E4943"/>
    <w:rsid w:val="005E5C81"/>
    <w:rsid w:val="005E66A5"/>
    <w:rsid w:val="005E6BA7"/>
    <w:rsid w:val="005E6D26"/>
    <w:rsid w:val="005F0A27"/>
    <w:rsid w:val="005F45B6"/>
    <w:rsid w:val="005F481A"/>
    <w:rsid w:val="005F5AAA"/>
    <w:rsid w:val="005F6F3A"/>
    <w:rsid w:val="00600E27"/>
    <w:rsid w:val="00601777"/>
    <w:rsid w:val="00602CDA"/>
    <w:rsid w:val="006054EB"/>
    <w:rsid w:val="00606D9D"/>
    <w:rsid w:val="00607A00"/>
    <w:rsid w:val="00612E84"/>
    <w:rsid w:val="00613DB3"/>
    <w:rsid w:val="006150CF"/>
    <w:rsid w:val="00615A54"/>
    <w:rsid w:val="006166A7"/>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07B"/>
    <w:rsid w:val="00693131"/>
    <w:rsid w:val="00693632"/>
    <w:rsid w:val="006938A1"/>
    <w:rsid w:val="00693B3C"/>
    <w:rsid w:val="0069428A"/>
    <w:rsid w:val="00695418"/>
    <w:rsid w:val="00696758"/>
    <w:rsid w:val="00696DFF"/>
    <w:rsid w:val="006A061F"/>
    <w:rsid w:val="006A1592"/>
    <w:rsid w:val="006A17B3"/>
    <w:rsid w:val="006A3C57"/>
    <w:rsid w:val="006A5E17"/>
    <w:rsid w:val="006B0DD4"/>
    <w:rsid w:val="006B4E6A"/>
    <w:rsid w:val="006B75F2"/>
    <w:rsid w:val="006C009A"/>
    <w:rsid w:val="006C0465"/>
    <w:rsid w:val="006C2972"/>
    <w:rsid w:val="006C3574"/>
    <w:rsid w:val="006C618D"/>
    <w:rsid w:val="006D1D05"/>
    <w:rsid w:val="006D210A"/>
    <w:rsid w:val="006D3424"/>
    <w:rsid w:val="006D3AD5"/>
    <w:rsid w:val="006D7A53"/>
    <w:rsid w:val="006D7B22"/>
    <w:rsid w:val="006E0155"/>
    <w:rsid w:val="006E2965"/>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B01C2"/>
    <w:rsid w:val="007B0A4A"/>
    <w:rsid w:val="007B1D15"/>
    <w:rsid w:val="007B4DCF"/>
    <w:rsid w:val="007C027D"/>
    <w:rsid w:val="007C0F85"/>
    <w:rsid w:val="007C2A41"/>
    <w:rsid w:val="007C2C83"/>
    <w:rsid w:val="007C30DD"/>
    <w:rsid w:val="007C4F86"/>
    <w:rsid w:val="007C5574"/>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EF7"/>
    <w:rsid w:val="00815030"/>
    <w:rsid w:val="00815DCA"/>
    <w:rsid w:val="008162DE"/>
    <w:rsid w:val="00817E89"/>
    <w:rsid w:val="0082070B"/>
    <w:rsid w:val="00825AE1"/>
    <w:rsid w:val="00826443"/>
    <w:rsid w:val="00827917"/>
    <w:rsid w:val="00832CEC"/>
    <w:rsid w:val="00834138"/>
    <w:rsid w:val="00834166"/>
    <w:rsid w:val="00834BCD"/>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4981"/>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07DF8"/>
    <w:rsid w:val="00910583"/>
    <w:rsid w:val="0091489B"/>
    <w:rsid w:val="00916858"/>
    <w:rsid w:val="009169F6"/>
    <w:rsid w:val="009174B2"/>
    <w:rsid w:val="00920CF6"/>
    <w:rsid w:val="00922AE3"/>
    <w:rsid w:val="009241DB"/>
    <w:rsid w:val="00924B8A"/>
    <w:rsid w:val="009321B7"/>
    <w:rsid w:val="00933CFF"/>
    <w:rsid w:val="00940B5B"/>
    <w:rsid w:val="00946724"/>
    <w:rsid w:val="00946944"/>
    <w:rsid w:val="009473ED"/>
    <w:rsid w:val="009533A5"/>
    <w:rsid w:val="009572D9"/>
    <w:rsid w:val="0096009D"/>
    <w:rsid w:val="0096034C"/>
    <w:rsid w:val="009613E6"/>
    <w:rsid w:val="00961FEC"/>
    <w:rsid w:val="009621B2"/>
    <w:rsid w:val="00962722"/>
    <w:rsid w:val="009639CB"/>
    <w:rsid w:val="00963FB7"/>
    <w:rsid w:val="00965FB2"/>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2F2E"/>
    <w:rsid w:val="009B3442"/>
    <w:rsid w:val="009B44DF"/>
    <w:rsid w:val="009B648D"/>
    <w:rsid w:val="009B6661"/>
    <w:rsid w:val="009C1817"/>
    <w:rsid w:val="009C1E7F"/>
    <w:rsid w:val="009C417C"/>
    <w:rsid w:val="009C5CF0"/>
    <w:rsid w:val="009D1159"/>
    <w:rsid w:val="009D1471"/>
    <w:rsid w:val="009D1A99"/>
    <w:rsid w:val="009D3181"/>
    <w:rsid w:val="009D5012"/>
    <w:rsid w:val="009D524C"/>
    <w:rsid w:val="009D5F63"/>
    <w:rsid w:val="009D7CFE"/>
    <w:rsid w:val="009D7ED3"/>
    <w:rsid w:val="009E046C"/>
    <w:rsid w:val="009E16C5"/>
    <w:rsid w:val="009E2ABD"/>
    <w:rsid w:val="009E5E3E"/>
    <w:rsid w:val="009E61BC"/>
    <w:rsid w:val="009E7A93"/>
    <w:rsid w:val="009E7C90"/>
    <w:rsid w:val="009F1672"/>
    <w:rsid w:val="009F2E7B"/>
    <w:rsid w:val="009F3B9F"/>
    <w:rsid w:val="009F3DF7"/>
    <w:rsid w:val="009F4404"/>
    <w:rsid w:val="009F5D68"/>
    <w:rsid w:val="009F6C5D"/>
    <w:rsid w:val="009F6E05"/>
    <w:rsid w:val="009F74BB"/>
    <w:rsid w:val="009F7610"/>
    <w:rsid w:val="009F77ED"/>
    <w:rsid w:val="00A00DED"/>
    <w:rsid w:val="00A03653"/>
    <w:rsid w:val="00A04BE2"/>
    <w:rsid w:val="00A1070B"/>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5E32"/>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709D"/>
    <w:rsid w:val="00AE0C14"/>
    <w:rsid w:val="00AE0E40"/>
    <w:rsid w:val="00AE12B7"/>
    <w:rsid w:val="00AE1C58"/>
    <w:rsid w:val="00AE2CF1"/>
    <w:rsid w:val="00AE3610"/>
    <w:rsid w:val="00AE3A12"/>
    <w:rsid w:val="00AE5006"/>
    <w:rsid w:val="00AE67F5"/>
    <w:rsid w:val="00AE7388"/>
    <w:rsid w:val="00AF0BC3"/>
    <w:rsid w:val="00AF1BC4"/>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3086"/>
    <w:rsid w:val="00BD3E3A"/>
    <w:rsid w:val="00BD4DB2"/>
    <w:rsid w:val="00BD6109"/>
    <w:rsid w:val="00BE0008"/>
    <w:rsid w:val="00BE13AD"/>
    <w:rsid w:val="00BE22FC"/>
    <w:rsid w:val="00BE410E"/>
    <w:rsid w:val="00BE4846"/>
    <w:rsid w:val="00BE6C20"/>
    <w:rsid w:val="00BF08C1"/>
    <w:rsid w:val="00BF0AE5"/>
    <w:rsid w:val="00BF30A9"/>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6F20"/>
    <w:rsid w:val="00C37D1F"/>
    <w:rsid w:val="00C42A76"/>
    <w:rsid w:val="00C42D07"/>
    <w:rsid w:val="00C434BA"/>
    <w:rsid w:val="00C44AEF"/>
    <w:rsid w:val="00C46EF9"/>
    <w:rsid w:val="00C46F8B"/>
    <w:rsid w:val="00C5524B"/>
    <w:rsid w:val="00C60AA4"/>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5EC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3285"/>
    <w:rsid w:val="00D36405"/>
    <w:rsid w:val="00D36D77"/>
    <w:rsid w:val="00D406C9"/>
    <w:rsid w:val="00D40E8D"/>
    <w:rsid w:val="00D419DF"/>
    <w:rsid w:val="00D437A0"/>
    <w:rsid w:val="00D43EE8"/>
    <w:rsid w:val="00D46696"/>
    <w:rsid w:val="00D479A5"/>
    <w:rsid w:val="00D51181"/>
    <w:rsid w:val="00D5209F"/>
    <w:rsid w:val="00D526D7"/>
    <w:rsid w:val="00D5373E"/>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7DB0"/>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7B04"/>
    <w:rsid w:val="00DC476B"/>
    <w:rsid w:val="00DD0777"/>
    <w:rsid w:val="00DD2962"/>
    <w:rsid w:val="00DD2BC2"/>
    <w:rsid w:val="00DD2D26"/>
    <w:rsid w:val="00DD3A45"/>
    <w:rsid w:val="00DD3E4F"/>
    <w:rsid w:val="00DD54ED"/>
    <w:rsid w:val="00DD6AAC"/>
    <w:rsid w:val="00DD6EBE"/>
    <w:rsid w:val="00DD73AD"/>
    <w:rsid w:val="00DE52CB"/>
    <w:rsid w:val="00DE598F"/>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36E7"/>
    <w:rsid w:val="00E13ED9"/>
    <w:rsid w:val="00E1406A"/>
    <w:rsid w:val="00E14B17"/>
    <w:rsid w:val="00E15A87"/>
    <w:rsid w:val="00E17010"/>
    <w:rsid w:val="00E17B07"/>
    <w:rsid w:val="00E26778"/>
    <w:rsid w:val="00E30CAA"/>
    <w:rsid w:val="00E32156"/>
    <w:rsid w:val="00E356F5"/>
    <w:rsid w:val="00E369F2"/>
    <w:rsid w:val="00E37717"/>
    <w:rsid w:val="00E4154F"/>
    <w:rsid w:val="00E42358"/>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7FC8"/>
    <w:rsid w:val="00E802B9"/>
    <w:rsid w:val="00E8050F"/>
    <w:rsid w:val="00E825CC"/>
    <w:rsid w:val="00E82B2C"/>
    <w:rsid w:val="00E8341C"/>
    <w:rsid w:val="00E84719"/>
    <w:rsid w:val="00E86C19"/>
    <w:rsid w:val="00E909E8"/>
    <w:rsid w:val="00E91B47"/>
    <w:rsid w:val="00E91CB3"/>
    <w:rsid w:val="00E945C3"/>
    <w:rsid w:val="00E96176"/>
    <w:rsid w:val="00E96386"/>
    <w:rsid w:val="00EA04D3"/>
    <w:rsid w:val="00EA1773"/>
    <w:rsid w:val="00EA2D9F"/>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58F5"/>
    <w:rsid w:val="00EC6325"/>
    <w:rsid w:val="00EC73FB"/>
    <w:rsid w:val="00ED0FBC"/>
    <w:rsid w:val="00ED1466"/>
    <w:rsid w:val="00ED183E"/>
    <w:rsid w:val="00ED32E0"/>
    <w:rsid w:val="00ED37CF"/>
    <w:rsid w:val="00ED4F18"/>
    <w:rsid w:val="00ED5D67"/>
    <w:rsid w:val="00ED6079"/>
    <w:rsid w:val="00ED645E"/>
    <w:rsid w:val="00EE14F7"/>
    <w:rsid w:val="00EE32EF"/>
    <w:rsid w:val="00EE4714"/>
    <w:rsid w:val="00EE5D89"/>
    <w:rsid w:val="00EE6783"/>
    <w:rsid w:val="00EF0EBC"/>
    <w:rsid w:val="00EF4465"/>
    <w:rsid w:val="00EF5D06"/>
    <w:rsid w:val="00EF611B"/>
    <w:rsid w:val="00F004B7"/>
    <w:rsid w:val="00F0270B"/>
    <w:rsid w:val="00F06B04"/>
    <w:rsid w:val="00F06B40"/>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69FD"/>
    <w:rsid w:val="00F2703C"/>
    <w:rsid w:val="00F30084"/>
    <w:rsid w:val="00F302B4"/>
    <w:rsid w:val="00F33932"/>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2EDE"/>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33A1"/>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551A"/>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2025-03-26T18:21:00Z</cp:lastPrinted>
  <dcterms:created xsi:type="dcterms:W3CDTF">2025-03-28T20:03:00Z</dcterms:created>
  <dcterms:modified xsi:type="dcterms:W3CDTF">2025-03-28T20:03:00Z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